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17D6" w14:textId="77777777" w:rsidR="003832CB" w:rsidRDefault="003832C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3F8117D7" w14:textId="77777777" w:rsidR="003832CB" w:rsidRDefault="00D50A9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Warszawa,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1 sierpnia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20</w:t>
      </w:r>
      <w:r>
        <w:rPr>
          <w:rFonts w:ascii="Century Gothic" w:eastAsia="Century Gothic" w:hAnsi="Century Gothic" w:cs="Century Gothic"/>
          <w:sz w:val="22"/>
          <w:szCs w:val="22"/>
        </w:rPr>
        <w:t>22</w:t>
      </w:r>
    </w:p>
    <w:p w14:paraId="3F8117D8" w14:textId="77777777" w:rsidR="003832CB" w:rsidRDefault="003832CB">
      <w:pPr>
        <w:shd w:val="clear" w:color="auto" w:fill="FFFFFF"/>
        <w:spacing w:before="240" w:after="120" w:line="276" w:lineRule="auto"/>
        <w:rPr>
          <w:rFonts w:ascii="Century Gothic" w:eastAsia="Century Gothic" w:hAnsi="Century Gothic" w:cs="Century Gothic"/>
          <w:b/>
          <w:color w:val="579292"/>
        </w:rPr>
      </w:pPr>
    </w:p>
    <w:p w14:paraId="3F8117D9" w14:textId="77777777" w:rsidR="003832CB" w:rsidRDefault="00D50A96">
      <w:pPr>
        <w:shd w:val="clear" w:color="auto" w:fill="FFFFFF"/>
        <w:spacing w:before="360" w:line="276" w:lineRule="auto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Rockwell Automation prezentuje Raport o Stanie Inteligentnej Produkcji</w:t>
      </w:r>
    </w:p>
    <w:p w14:paraId="3F8117DA" w14:textId="77777777" w:rsidR="003832CB" w:rsidRDefault="003832CB">
      <w:pPr>
        <w:shd w:val="clear" w:color="auto" w:fill="FFFFFF"/>
        <w:spacing w:before="360" w:line="276" w:lineRule="auto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14:paraId="3F8117DB" w14:textId="77777777" w:rsidR="003832CB" w:rsidRDefault="00D50A96">
      <w:pPr>
        <w:numPr>
          <w:ilvl w:val="1"/>
          <w:numId w:val="2"/>
        </w:numPr>
        <w:shd w:val="clear" w:color="auto" w:fill="FFFFFF"/>
        <w:jc w:val="center"/>
        <w:rPr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sz w:val="20"/>
          <w:szCs w:val="20"/>
        </w:rPr>
        <w:t>Wskaźniki wdrożenia inteligentnej produkcji wzrosły o 50% od 2021 do 2022 r., co oznacza, że</w:t>
      </w:r>
      <w:r>
        <w:rPr>
          <w:rFonts w:ascii="Century Gothic" w:eastAsia="Century Gothic" w:hAnsi="Century Gothic" w:cs="Century Gothic"/>
          <w:b/>
          <w:i/>
          <w:sz w:val="20"/>
          <w:szCs w:val="20"/>
        </w:rPr>
        <w:t xml:space="preserve"> 2 na 3 producentów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 korzysta obecnie z jakiejś formy inteligentnego komponentu produkcyjnego.</w:t>
      </w:r>
    </w:p>
    <w:p w14:paraId="3F8117DC" w14:textId="77777777" w:rsidR="003832CB" w:rsidRDefault="00D50A96">
      <w:pPr>
        <w:numPr>
          <w:ilvl w:val="1"/>
          <w:numId w:val="2"/>
        </w:numPr>
        <w:shd w:val="clear" w:color="auto" w:fill="FFFFFF"/>
        <w:spacing w:after="260"/>
        <w:jc w:val="center"/>
      </w:pPr>
      <w:r>
        <w:rPr>
          <w:rFonts w:ascii="Century Gothic" w:eastAsia="Century Gothic" w:hAnsi="Century Gothic" w:cs="Century Gothic"/>
          <w:sz w:val="20"/>
          <w:szCs w:val="20"/>
        </w:rPr>
        <w:t>Ponad 80% respondentów zarówno w raporcie o stanie inteligentnej produ</w:t>
      </w:r>
      <w:r>
        <w:rPr>
          <w:rFonts w:ascii="Century Gothic" w:eastAsia="Century Gothic" w:hAnsi="Century Gothic" w:cs="Century Gothic"/>
          <w:sz w:val="20"/>
          <w:szCs w:val="20"/>
        </w:rPr>
        <w:t>kcji z 2022 r., jak i w ankiecie perspektywicznej NAM (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National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Association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of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Manufacturers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) podkreśla znaczenie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pozyskania i utrzymania wysokiej jakości siły roboczej.</w:t>
      </w:r>
    </w:p>
    <w:p w14:paraId="3F8117DD" w14:textId="77777777" w:rsidR="003832CB" w:rsidRDefault="00D50A96">
      <w:pPr>
        <w:shd w:val="clear" w:color="auto" w:fill="FFFFFF"/>
        <w:spacing w:after="24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Raport o Stanie Inteligentnej Produkcji z 2022 r. </w:t>
      </w:r>
      <w:hyperlink r:id="rId8">
        <w:r>
          <w:rPr>
            <w:rFonts w:ascii="Century Gothic" w:eastAsia="Century Gothic" w:hAnsi="Century Gothic" w:cs="Century Gothic"/>
            <w:b/>
            <w:color w:val="1155CC"/>
            <w:sz w:val="20"/>
            <w:szCs w:val="20"/>
            <w:u w:val="single"/>
          </w:rPr>
          <w:t xml:space="preserve">(The 2022 </w:t>
        </w:r>
        <w:proofErr w:type="spellStart"/>
        <w:r>
          <w:rPr>
            <w:rFonts w:ascii="Century Gothic" w:eastAsia="Century Gothic" w:hAnsi="Century Gothic" w:cs="Century Gothic"/>
            <w:b/>
            <w:color w:val="1155CC"/>
            <w:sz w:val="20"/>
            <w:szCs w:val="20"/>
            <w:u w:val="single"/>
          </w:rPr>
          <w:t>State</w:t>
        </w:r>
        <w:proofErr w:type="spellEnd"/>
        <w:r>
          <w:rPr>
            <w:rFonts w:ascii="Century Gothic" w:eastAsia="Century Gothic" w:hAnsi="Century Gothic" w:cs="Century Gothic"/>
            <w:b/>
            <w:color w:val="1155CC"/>
            <w:sz w:val="20"/>
            <w:szCs w:val="20"/>
            <w:u w:val="single"/>
          </w:rPr>
          <w:t xml:space="preserve"> of Smart Manufacturing Report)</w:t>
        </w:r>
      </w:hyperlink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to najbardziej solidna edycja, jaka dotychczas powstała. Badanie zostało przeprowadzone przez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Plex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Systems, spółkę firmy Rockwell Automation, we współpracy z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Hanover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Research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. Wśród uczestników i respondentów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znalazły się firmy produkcyjnej z całego świata, łącznie około 321 podmiotów. Wyniki badania ujawniają obecny stan i kondycję inteligentnej produkcji (smart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manufacturing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>), wyzwania przed którymi stoją firmy produkcyjne, a także oczekiwania dotyczące przys</w:t>
      </w:r>
      <w:r>
        <w:rPr>
          <w:rFonts w:ascii="Century Gothic" w:eastAsia="Century Gothic" w:hAnsi="Century Gothic" w:cs="Century Gothic"/>
          <w:b/>
          <w:sz w:val="20"/>
          <w:szCs w:val="20"/>
        </w:rPr>
        <w:t>złości sektora produkcyjnego. Dzięki odkryciom i zaleceniom zawartym w opracowanym raporcie, a także dołączonej liście kontrolnej (strona 41 raportu) można samodzielnie opracować i stworzyć własny plan działania dotyczący wdrażania technologii i wykorzysta</w:t>
      </w:r>
      <w:r>
        <w:rPr>
          <w:rFonts w:ascii="Century Gothic" w:eastAsia="Century Gothic" w:hAnsi="Century Gothic" w:cs="Century Gothic"/>
          <w:b/>
          <w:sz w:val="20"/>
          <w:szCs w:val="20"/>
        </w:rPr>
        <w:t>ć przyszłość inteligentnej produkcji.</w:t>
      </w:r>
    </w:p>
    <w:p w14:paraId="3F8117DE" w14:textId="77777777" w:rsidR="003832CB" w:rsidRDefault="00D50A96">
      <w:pPr>
        <w:shd w:val="clear" w:color="auto" w:fill="FFFFFF"/>
        <w:spacing w:after="240"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Coroczny raport o stanie inteligentnej produkcji firmy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Plex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(spółka Rockwell Automation) wziął pod lupę najpilniejsze wyzwania branży produkcyjnej ostatniej dekady. Niedobór wykwalifikowanych pracowników, zakłócenia w </w:t>
      </w:r>
      <w:r>
        <w:rPr>
          <w:rFonts w:ascii="Century Gothic" w:eastAsia="Century Gothic" w:hAnsi="Century Gothic" w:cs="Century Gothic"/>
          <w:sz w:val="20"/>
          <w:szCs w:val="20"/>
        </w:rPr>
        <w:t>łańcuchu dostaw i ograniczanie ryzyka są co roku głównymi przeszkodami w rozwoju branży, ale ich przyczyny stale się zmieniają. Kluczem do rozwiązania tych problemów i innych jeszcze nieznanych zjawisk jest technologia – w szczególności inteligentna produk</w:t>
      </w:r>
      <w:r>
        <w:rPr>
          <w:rFonts w:ascii="Century Gothic" w:eastAsia="Century Gothic" w:hAnsi="Century Gothic" w:cs="Century Gothic"/>
          <w:sz w:val="20"/>
          <w:szCs w:val="20"/>
        </w:rPr>
        <w:t>cja. Czynniki takie jak wzrost ilości danych na poziomie zakładu, większa łączność maszyn i ludzi, rozwój Przemysłowego Internetu Rzeczy oraz praktyczne wykorzystanie i przystępność cenowych technologii zmieniają produkcję i poszerzają ludzkie możliwości.</w:t>
      </w:r>
    </w:p>
    <w:p w14:paraId="3F8117DF" w14:textId="77777777" w:rsidR="003832CB" w:rsidRDefault="003832CB">
      <w:pPr>
        <w:shd w:val="clear" w:color="auto" w:fill="FFFFFF"/>
        <w:spacing w:after="24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F8117E0" w14:textId="77777777" w:rsidR="003832CB" w:rsidRDefault="00D50A96">
      <w:pPr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SMART MANUFACTURING</w:t>
      </w:r>
    </w:p>
    <w:p w14:paraId="3F8117E1" w14:textId="77777777" w:rsidR="003832CB" w:rsidRDefault="00D50A96">
      <w:pPr>
        <w:shd w:val="clear" w:color="auto" w:fill="FFFFFF"/>
        <w:spacing w:after="240"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Inteligentna instrumentacja i optymalizacja w czasie rzeczywistym procesów biznesowych, fizycznych i cyfrowych w fabrykach i w całym łańcuchu wartości. Zasoby i procesy są zautomatyzowane, zintegrowane, monitorowane i stale oceniane na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podstawie wszystkich dostępnych informacji możliwie najbliżej czasu rzeczywistego. Rockwell Automation wskazuje, że wdrożenie inteligentnej produkcji przyspieszyło o 50% i w 2022 ten trend wzrostowy się utrzyma. Modularyzacja oprogramowania, która pozwala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na stopniowe przyjmowanie technologii, zyskuje na popularności, ponieważ producenci chcą stać się bardziej zwinni w obliczu przeciwności.       </w:t>
      </w:r>
    </w:p>
    <w:p w14:paraId="3F8117E2" w14:textId="77777777" w:rsidR="003832CB" w:rsidRDefault="00D50A96">
      <w:pPr>
        <w:numPr>
          <w:ilvl w:val="0"/>
          <w:numId w:val="4"/>
        </w:numPr>
        <w:shd w:val="clear" w:color="auto" w:fill="FFFFFF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Wdrażanie inteligentnej produkcji wzrosło o 50% rok do roku</w:t>
      </w:r>
    </w:p>
    <w:p w14:paraId="3F8117E3" w14:textId="77777777" w:rsidR="003832CB" w:rsidRDefault="00D50A96">
      <w:pPr>
        <w:numPr>
          <w:ilvl w:val="0"/>
          <w:numId w:val="4"/>
        </w:numPr>
        <w:shd w:val="clear" w:color="auto" w:fill="FFFFFF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Działania w zakresie ESG są traktowane bardziej pr</w:t>
      </w:r>
      <w:r>
        <w:rPr>
          <w:rFonts w:ascii="Century Gothic" w:eastAsia="Century Gothic" w:hAnsi="Century Gothic" w:cs="Century Gothic"/>
          <w:sz w:val="20"/>
          <w:szCs w:val="20"/>
        </w:rPr>
        <w:t>iorytetowo</w:t>
      </w:r>
    </w:p>
    <w:p w14:paraId="3F8117E4" w14:textId="77777777" w:rsidR="003832CB" w:rsidRDefault="00D50A96">
      <w:pPr>
        <w:numPr>
          <w:ilvl w:val="0"/>
          <w:numId w:val="4"/>
        </w:numPr>
        <w:shd w:val="clear" w:color="auto" w:fill="FFFFFF"/>
        <w:spacing w:after="30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>Bariery wejścia są niższe, co prowadzi do wyższego poziomu adopcji i bardziej atrakcyjnego zwrotu z inwestycji.</w:t>
      </w:r>
    </w:p>
    <w:p w14:paraId="3F8117E5" w14:textId="77777777" w:rsidR="003832CB" w:rsidRDefault="003832CB">
      <w:pPr>
        <w:shd w:val="clear" w:color="auto" w:fill="FFFFFF"/>
        <w:spacing w:after="300"/>
        <w:ind w:left="144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F8117E6" w14:textId="77777777" w:rsidR="003832CB" w:rsidRDefault="00D50A96">
      <w:pPr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PANDEMIA ODKRYŁA 3 ROZWIJAJĄCE SIĘ WYZWANIA BIZNESOWE</w:t>
      </w:r>
    </w:p>
    <w:p w14:paraId="3F8117E7" w14:textId="77777777" w:rsidR="003832CB" w:rsidRDefault="00D50A96">
      <w:pPr>
        <w:shd w:val="clear" w:color="auto" w:fill="FFFFFF"/>
        <w:spacing w:after="240"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Rockwell Automation wskazuje, że raporty o stanie inteligentnej produkcji z 20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21 i 2022 r. wskazały, że pandemia COVID-19 uwypukla problemy i wyzwania, z jakimi mierzy się branża: </w:t>
      </w:r>
    </w:p>
    <w:p w14:paraId="3F8117E8" w14:textId="77777777" w:rsidR="003832CB" w:rsidRDefault="00D50A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rFonts w:ascii="Century Gothic" w:eastAsia="Century Gothic" w:hAnsi="Century Gothic" w:cs="Century Gothic"/>
          <w:sz w:val="20"/>
          <w:szCs w:val="20"/>
        </w:rPr>
        <w:t>Nowoczesne rozwiązania do zarządzania łańcuchem dostaw muszą uwzględniać współczesną złożoność.</w:t>
      </w:r>
    </w:p>
    <w:p w14:paraId="3F8117E9" w14:textId="77777777" w:rsidR="003832CB" w:rsidRDefault="00D50A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Przy ponad 800 000 nieobsadzonych stanowiskach produkcyjnych potrzebne jest nowe podejście do rozwiązania problemu niedoboru wykwalifikowanych pracowników.</w:t>
      </w:r>
    </w:p>
    <w:p w14:paraId="3F8117EA" w14:textId="77777777" w:rsidR="003832CB" w:rsidRDefault="00D50A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Ogra</w:t>
      </w:r>
      <w:r>
        <w:rPr>
          <w:rFonts w:ascii="Century Gothic" w:eastAsia="Century Gothic" w:hAnsi="Century Gothic" w:cs="Century Gothic"/>
          <w:sz w:val="20"/>
          <w:szCs w:val="20"/>
        </w:rPr>
        <w:t>niczanie ryzyka wciąż ewoluuje i przy ciągłej potrzebie rozwoju.</w:t>
      </w:r>
    </w:p>
    <w:p w14:paraId="3F8117EB" w14:textId="77777777" w:rsidR="003832CB" w:rsidRDefault="00383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ind w:left="72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F8117EC" w14:textId="77777777" w:rsidR="003832CB" w:rsidRDefault="00D50A96">
      <w:pPr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NIEGDYŚ PRZEREKLAMOWANE TECHNOLOGIE DZIŚ ROZWIĄZUJĄ NASZE PROBLEMY</w:t>
      </w:r>
    </w:p>
    <w:p w14:paraId="3F8117ED" w14:textId="77777777" w:rsidR="003832CB" w:rsidRDefault="00D50A96">
      <w:pPr>
        <w:shd w:val="clear" w:color="auto" w:fill="FFFFFF"/>
        <w:spacing w:after="240"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Technologie, które kiedyś były postrzegane jako przereklamowane i mało prawdopodobne, aby wniosły znaczący wkład, są obecnie uważane za kluczowe dla sukcesu. Chmura, wzmocnione urządzenia przemysłowe i automatyzacja procesów pomagają firmom pokonywać wyzwa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nia związane z niedoborem wykwalifikowanych pracowników, zarządzaniem łańcuchem dostaw i ograniczaniem ryzyka. Ponadto rozszerzona rzeczywistość zyskują popularność, pomagając szybko wdrożyć nowych pracowników i przyciągnąć nowe talenty. </w:t>
      </w:r>
    </w:p>
    <w:p w14:paraId="3F8117EE" w14:textId="77777777" w:rsidR="003832CB" w:rsidRDefault="00D50A96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49% respondentów </w:t>
      </w:r>
      <w:r>
        <w:rPr>
          <w:rFonts w:ascii="Century Gothic" w:eastAsia="Century Gothic" w:hAnsi="Century Gothic" w:cs="Century Gothic"/>
          <w:sz w:val="20"/>
          <w:szCs w:val="20"/>
        </w:rPr>
        <w:t>— prawie 20% rok do roku — korzysta z jakiejś formy inteligentnych urządzeń (AR, rzeczywistość mieszana, urządzenia do noszenia).</w:t>
      </w:r>
    </w:p>
    <w:p w14:paraId="3F8117EF" w14:textId="77777777" w:rsidR="003832CB" w:rsidRDefault="00D50A96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75% respondentów postrzega technologię jako kluczowe rozwiązanie problemów pracowników.</w:t>
      </w:r>
    </w:p>
    <w:p w14:paraId="3F8117F0" w14:textId="77777777" w:rsidR="003832CB" w:rsidRDefault="00D50A96">
      <w:pPr>
        <w:numPr>
          <w:ilvl w:val="0"/>
          <w:numId w:val="2"/>
        </w:numPr>
        <w:shd w:val="clear" w:color="auto" w:fill="FFFFFF"/>
        <w:spacing w:after="240"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Przedsiębiorstwa produkcyjne, które pr</w:t>
      </w:r>
      <w:r>
        <w:rPr>
          <w:rFonts w:ascii="Century Gothic" w:eastAsia="Century Gothic" w:hAnsi="Century Gothic" w:cs="Century Gothic"/>
          <w:sz w:val="20"/>
          <w:szCs w:val="20"/>
        </w:rPr>
        <w:t>ezentują się jako zaawansowane technologicznie, są bardziej atrakcyjne dla potencjalnych pracowników.</w:t>
      </w:r>
    </w:p>
    <w:p w14:paraId="3F8117F1" w14:textId="77777777" w:rsidR="003832CB" w:rsidRDefault="003832CB">
      <w:pPr>
        <w:shd w:val="clear" w:color="auto" w:fill="FFFFFF"/>
        <w:spacing w:after="240"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F8117F2" w14:textId="77777777" w:rsidR="003832CB" w:rsidRDefault="00D50A96">
      <w:pPr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POZOSTAĆ KONKURENCYJNYM W 2022 I PÓŹNIEJ</w:t>
      </w:r>
    </w:p>
    <w:p w14:paraId="3F8117F3" w14:textId="77777777" w:rsidR="003832CB" w:rsidRDefault="00D50A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ind w:left="7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Produkcja nigdy nie była tak kluczowa. Pandemia ujawniła skalę wyzwań, przed którymi stoją producenci, w tym zak</w:t>
      </w:r>
      <w:r>
        <w:rPr>
          <w:rFonts w:ascii="Century Gothic" w:eastAsia="Century Gothic" w:hAnsi="Century Gothic" w:cs="Century Gothic"/>
          <w:sz w:val="20"/>
          <w:szCs w:val="20"/>
        </w:rPr>
        <w:t>łócenia łańcucha dostaw, niedobór wykwalifikowanych pracowników i ograniczanie ryzyka. Zarządzanie środowiskowe, społeczne i korporacyjne (ESG) również stało się niezbędnym elementem działalności biznesowej. Jednocześnie połączenie analiz opartych na danyc</w:t>
      </w:r>
      <w:r>
        <w:rPr>
          <w:rFonts w:ascii="Century Gothic" w:eastAsia="Century Gothic" w:hAnsi="Century Gothic" w:cs="Century Gothic"/>
          <w:sz w:val="20"/>
          <w:szCs w:val="20"/>
        </w:rPr>
        <w:t>h, szybkości i automatyzacji nigdy nie było bardziej dostępne. Wszystko to przyspiesza wdrażanie inteligentnej produkcji. Oto kilka faktów z raportu, którym warto się przyjrzeć:</w:t>
      </w:r>
    </w:p>
    <w:p w14:paraId="3F8117F4" w14:textId="77777777" w:rsidR="003832CB" w:rsidRDefault="00D50A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Wskaźniki wdrożenia inteligentnej produkcji wzrosły o 50% od 2021 do 2022 r., co oznacza, że 2 na 3 producentów korzysta obecnie z jakiejś formy inteligentnego komponentu produkcyjnego.</w:t>
      </w:r>
    </w:p>
    <w:p w14:paraId="3F8117F5" w14:textId="77777777" w:rsidR="003832CB" w:rsidRDefault="00D50A96">
      <w:pPr>
        <w:numPr>
          <w:ilvl w:val="1"/>
          <w:numId w:val="2"/>
        </w:numPr>
        <w:shd w:val="clear" w:color="auto" w:fill="FFFFFF"/>
        <w:spacing w:line="276" w:lineRule="auto"/>
        <w:jc w:val="both"/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>Niezdecydowanie spowodowane przeciążeniem opcji inwestycyjnych w techn</w:t>
      </w:r>
      <w:r>
        <w:rPr>
          <w:rFonts w:ascii="Century Gothic" w:eastAsia="Century Gothic" w:hAnsi="Century Gothic" w:cs="Century Gothic"/>
          <w:sz w:val="20"/>
          <w:szCs w:val="20"/>
        </w:rPr>
        <w:t>ologię jest po raz pierwszy wiodącą przeszkodą w rozwoju – wybrało ją ponad 20% respondentów.</w:t>
      </w:r>
    </w:p>
    <w:p w14:paraId="3F8117F6" w14:textId="77777777" w:rsidR="003832CB" w:rsidRDefault="00D50A96">
      <w:pPr>
        <w:numPr>
          <w:ilvl w:val="1"/>
          <w:numId w:val="2"/>
        </w:numPr>
        <w:shd w:val="clear" w:color="auto" w:fill="FFFFFF"/>
        <w:spacing w:line="276" w:lineRule="auto"/>
        <w:jc w:val="both"/>
      </w:pPr>
      <w:r>
        <w:rPr>
          <w:rFonts w:ascii="Century Gothic" w:eastAsia="Century Gothic" w:hAnsi="Century Gothic" w:cs="Century Gothic"/>
          <w:sz w:val="20"/>
          <w:szCs w:val="20"/>
        </w:rPr>
        <w:t>Podczas gdy 78% producentów posiada rozwiązanie punktu planowania łańcucha dostaw, 38% respondentów stwierdziło, że planuje zainwestować w planowanie łańcucha dos</w:t>
      </w:r>
      <w:r>
        <w:rPr>
          <w:rFonts w:ascii="Century Gothic" w:eastAsia="Century Gothic" w:hAnsi="Century Gothic" w:cs="Century Gothic"/>
          <w:sz w:val="20"/>
          <w:szCs w:val="20"/>
        </w:rPr>
        <w:t>taw, wskazując, że ich obecne rozwiązanie nie wystarczy.</w:t>
      </w:r>
    </w:p>
    <w:p w14:paraId="3F8117F7" w14:textId="77777777" w:rsidR="003832CB" w:rsidRDefault="00D50A96">
      <w:pPr>
        <w:numPr>
          <w:ilvl w:val="1"/>
          <w:numId w:val="2"/>
        </w:numPr>
        <w:shd w:val="clear" w:color="auto" w:fill="FFFFFF"/>
        <w:spacing w:after="260" w:line="276" w:lineRule="auto"/>
        <w:jc w:val="both"/>
      </w:pPr>
      <w:r>
        <w:rPr>
          <w:rFonts w:ascii="Century Gothic" w:eastAsia="Century Gothic" w:hAnsi="Century Gothic" w:cs="Century Gothic"/>
          <w:sz w:val="20"/>
          <w:szCs w:val="20"/>
        </w:rPr>
        <w:t>Ponad 80% respondentów zarówno w raporcie o stanie inteligentnej produkcji z 2022 r., jak i w ankiecie perspektywicznej NAM (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National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Association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of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Manufacturers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) podkreśla znaczenie przyciągania i </w:t>
      </w:r>
      <w:r>
        <w:rPr>
          <w:rFonts w:ascii="Century Gothic" w:eastAsia="Century Gothic" w:hAnsi="Century Gothic" w:cs="Century Gothic"/>
          <w:sz w:val="20"/>
          <w:szCs w:val="20"/>
        </w:rPr>
        <w:t>utrzymania wysokiej jakości siły roboczej.</w:t>
      </w:r>
    </w:p>
    <w:p w14:paraId="3F8117F8" w14:textId="77777777" w:rsidR="003832CB" w:rsidRDefault="00D50A96">
      <w:pPr>
        <w:shd w:val="clear" w:color="auto" w:fill="FFFFFF"/>
        <w:spacing w:after="240"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Coroczny raport o stanie inteligentnej produkcji firmy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Plex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wziął pod lupę najpilniejsze wyzwania ostatniej dekady. Niedobór wykwalifikowanych pracowników, zakłócenia w łańcuchu dostaw i ograniczanie ryzyka są co </w:t>
      </w:r>
      <w:r>
        <w:rPr>
          <w:rFonts w:ascii="Century Gothic" w:eastAsia="Century Gothic" w:hAnsi="Century Gothic" w:cs="Century Gothic"/>
          <w:sz w:val="20"/>
          <w:szCs w:val="20"/>
        </w:rPr>
        <w:t>roku głównymi przeszkodami w rozwoju branży, ale ich przyczyny stale się zmieniają. Kluczem do rozwiązania tych problemów i innych jeszcze nieznanych zjawisk jest technologia – w szczególności inteligentna produkcja. Czynniki takie jak wzrost ilości danych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na poziomie zakładu, większa łączność maszyn i ludzi, rozwój Przemysłowego Internetu Rzeczy oraz praktyczne wykorzystanie i przystępność cenowych technologii zmieniają produkcję i poszerzają ludzkie możliwości.</w:t>
      </w:r>
    </w:p>
    <w:p w14:paraId="3F8117F9" w14:textId="77777777" w:rsidR="003832CB" w:rsidRDefault="00D50A96">
      <w:pPr>
        <w:shd w:val="clear" w:color="auto" w:fill="FFFFFF"/>
        <w:spacing w:after="240"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Raport wraz z infografiką dostępny jest </w:t>
      </w:r>
      <w:hyperlink r:id="rId9">
        <w:r>
          <w:rPr>
            <w:rFonts w:ascii="Century Gothic" w:eastAsia="Century Gothic" w:hAnsi="Century Gothic" w:cs="Century Gothic"/>
            <w:color w:val="1155CC"/>
            <w:sz w:val="20"/>
            <w:szCs w:val="20"/>
            <w:u w:val="single"/>
          </w:rPr>
          <w:t>tutaj</w:t>
        </w:r>
      </w:hyperlink>
      <w:r>
        <w:rPr>
          <w:rFonts w:ascii="Century Gothic" w:eastAsia="Century Gothic" w:hAnsi="Century Gothic" w:cs="Century Gothic"/>
          <w:sz w:val="20"/>
          <w:szCs w:val="20"/>
        </w:rPr>
        <w:t xml:space="preserve">. </w:t>
      </w:r>
    </w:p>
    <w:p w14:paraId="3F811804" w14:textId="77777777" w:rsidR="003832CB" w:rsidRDefault="003832CB" w:rsidP="00D50A96">
      <w:pPr>
        <w:spacing w:before="240" w:after="240"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F811805" w14:textId="77777777" w:rsidR="003832CB" w:rsidRPr="00D50A96" w:rsidRDefault="00D50A96">
      <w:pPr>
        <w:rPr>
          <w:rFonts w:ascii="Century Gothic" w:eastAsia="Century Gothic" w:hAnsi="Century Gothic" w:cs="Century Gothic"/>
          <w:b/>
          <w:sz w:val="18"/>
          <w:szCs w:val="18"/>
          <w:lang w:val="en-US"/>
        </w:rPr>
      </w:pPr>
      <w:r w:rsidRPr="00D50A96">
        <w:rPr>
          <w:rFonts w:ascii="Century Gothic" w:eastAsia="Century Gothic" w:hAnsi="Century Gothic" w:cs="Century Gothic"/>
          <w:b/>
          <w:sz w:val="18"/>
          <w:szCs w:val="18"/>
          <w:lang w:val="en-US"/>
        </w:rPr>
        <w:t xml:space="preserve">O </w:t>
      </w:r>
      <w:proofErr w:type="spellStart"/>
      <w:r w:rsidRPr="00D50A96">
        <w:rPr>
          <w:rFonts w:ascii="Century Gothic" w:eastAsia="Century Gothic" w:hAnsi="Century Gothic" w:cs="Century Gothic"/>
          <w:b/>
          <w:sz w:val="18"/>
          <w:szCs w:val="18"/>
          <w:lang w:val="en-US"/>
        </w:rPr>
        <w:t>firmie</w:t>
      </w:r>
      <w:proofErr w:type="spellEnd"/>
      <w:r w:rsidRPr="00D50A96">
        <w:rPr>
          <w:rFonts w:ascii="Century Gothic" w:eastAsia="Century Gothic" w:hAnsi="Century Gothic" w:cs="Century Gothic"/>
          <w:b/>
          <w:sz w:val="18"/>
          <w:szCs w:val="18"/>
          <w:lang w:val="en-US"/>
        </w:rPr>
        <w:t xml:space="preserve"> Rockwell Automation</w:t>
      </w:r>
    </w:p>
    <w:p w14:paraId="3F811806" w14:textId="77777777" w:rsidR="003832CB" w:rsidRPr="00D50A96" w:rsidRDefault="003832CB">
      <w:pPr>
        <w:jc w:val="both"/>
        <w:rPr>
          <w:rFonts w:ascii="Century Gothic" w:eastAsia="Century Gothic" w:hAnsi="Century Gothic" w:cs="Century Gothic"/>
          <w:sz w:val="18"/>
          <w:szCs w:val="18"/>
          <w:lang w:val="en-US"/>
        </w:rPr>
      </w:pPr>
    </w:p>
    <w:p w14:paraId="3F811807" w14:textId="77777777" w:rsidR="003832CB" w:rsidRDefault="00D50A96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D50A96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Rockwell Automation, Inc. </w:t>
      </w:r>
      <w:r>
        <w:rPr>
          <w:rFonts w:ascii="Century Gothic" w:eastAsia="Century Gothic" w:hAnsi="Century Gothic" w:cs="Century Gothic"/>
          <w:sz w:val="18"/>
          <w:szCs w:val="18"/>
        </w:rPr>
        <w:t>(NYSE: ROK), jest światowym liderem w automatyce przemysłowej i transformacji cyfrowej. Łączymy wyobraźnię ludzi z potencjałem technologii, aby rozwijać to, co jest po ludzku możliwe, czyniąc świat bardziej produktywnym i zrównowa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żonym. Rockwell Automation, z siedzibą w Milwaukee, Wisconsin, zatrudnia około 23 500 osób w ponad 100 krajach. Aby dowiedzieć się więcej o tym, jak wdrażamy koncepcję The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Connected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Enterprise w różnych przedsiębiorstwach przemysłowych, odwiedź www.rockwel</w:t>
      </w:r>
      <w:r>
        <w:rPr>
          <w:rFonts w:ascii="Century Gothic" w:eastAsia="Century Gothic" w:hAnsi="Century Gothic" w:cs="Century Gothic"/>
          <w:sz w:val="18"/>
          <w:szCs w:val="18"/>
        </w:rPr>
        <w:t>lautomation.com.</w:t>
      </w:r>
    </w:p>
    <w:p w14:paraId="3F811808" w14:textId="77777777" w:rsidR="003832CB" w:rsidRDefault="003832C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3F811809" w14:textId="77777777" w:rsidR="003832CB" w:rsidRDefault="00D50A96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Kontakt dla mediów:</w:t>
      </w:r>
    </w:p>
    <w:p w14:paraId="3F81180A" w14:textId="77777777" w:rsidR="003832CB" w:rsidRDefault="003832C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3F81180B" w14:textId="77777777" w:rsidR="003832CB" w:rsidRDefault="00D50A96">
      <w:pPr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Kinga Jabłonowska – </w:t>
      </w:r>
      <w:proofErr w:type="spellStart"/>
      <w:r>
        <w:rPr>
          <w:rFonts w:ascii="Century Gothic" w:eastAsia="Century Gothic" w:hAnsi="Century Gothic" w:cs="Century Gothic"/>
          <w:b/>
          <w:sz w:val="18"/>
          <w:szCs w:val="18"/>
        </w:rPr>
        <w:t>Hieronimczuk</w:t>
      </w:r>
      <w:proofErr w:type="spellEnd"/>
    </w:p>
    <w:p w14:paraId="3F81180C" w14:textId="77777777" w:rsidR="003832CB" w:rsidRDefault="00D50A9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hyperlink r:id="rId10">
        <w:r>
          <w:rPr>
            <w:rFonts w:ascii="Century Gothic" w:eastAsia="Century Gothic" w:hAnsi="Century Gothic" w:cs="Century Gothic"/>
            <w:color w:val="000000"/>
            <w:sz w:val="18"/>
            <w:szCs w:val="18"/>
            <w:u w:val="single"/>
          </w:rPr>
          <w:t>kjablonowska@ra.rockwell.com</w:t>
        </w:r>
      </w:hyperlink>
    </w:p>
    <w:sectPr w:rsidR="003832CB">
      <w:headerReference w:type="default" r:id="rId11"/>
      <w:footerReference w:type="default" r:id="rId12"/>
      <w:pgSz w:w="11900" w:h="16840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1815" w14:textId="77777777" w:rsidR="00000000" w:rsidRDefault="00D50A96">
      <w:r>
        <w:separator/>
      </w:r>
    </w:p>
  </w:endnote>
  <w:endnote w:type="continuationSeparator" w:id="0">
    <w:p w14:paraId="3F811817" w14:textId="77777777" w:rsidR="00000000" w:rsidRDefault="00D5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180E" w14:textId="77777777" w:rsidR="003832CB" w:rsidRDefault="003832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</w:p>
  <w:p w14:paraId="3F81180F" w14:textId="77777777" w:rsidR="003832CB" w:rsidRDefault="00D50A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Rockwell Automation Sp. z o.o., ul. Powązkowska 44c, 01-797 Warszawa</w:t>
    </w:r>
  </w:p>
  <w:p w14:paraId="3F811810" w14:textId="77777777" w:rsidR="003832CB" w:rsidRDefault="00D50A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www.rockwellautomation.com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1811" w14:textId="77777777" w:rsidR="00000000" w:rsidRDefault="00D50A96">
      <w:r>
        <w:separator/>
      </w:r>
    </w:p>
  </w:footnote>
  <w:footnote w:type="continuationSeparator" w:id="0">
    <w:p w14:paraId="3F811813" w14:textId="77777777" w:rsidR="00000000" w:rsidRDefault="00D5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180D" w14:textId="77777777" w:rsidR="003832CB" w:rsidRDefault="00D50A9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right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3F811811" wp14:editId="3F811812">
          <wp:extent cx="1619250" cy="762000"/>
          <wp:effectExtent l="0" t="0" r="0" b="0"/>
          <wp:docPr id="2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color w:val="000000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C17"/>
    <w:multiLevelType w:val="multilevel"/>
    <w:tmpl w:val="341A4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B535ED"/>
    <w:multiLevelType w:val="multilevel"/>
    <w:tmpl w:val="0EA8A9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67B7735"/>
    <w:multiLevelType w:val="multilevel"/>
    <w:tmpl w:val="1FDA3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D94BBF"/>
    <w:multiLevelType w:val="multilevel"/>
    <w:tmpl w:val="4FA03C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66086157">
    <w:abstractNumId w:val="2"/>
  </w:num>
  <w:num w:numId="2" w16cid:durableId="161314481">
    <w:abstractNumId w:val="0"/>
  </w:num>
  <w:num w:numId="3" w16cid:durableId="1485244828">
    <w:abstractNumId w:val="3"/>
  </w:num>
  <w:num w:numId="4" w16cid:durableId="1338727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CB"/>
    <w:rsid w:val="003832CB"/>
    <w:rsid w:val="00D5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17D6"/>
  <w15:docId w15:val="{AA4D5B34-70A6-4275-93E3-67D3C9C7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10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line="259" w:lineRule="auto"/>
    </w:pPr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563C1"/>
      <w:u w:val="single" w:color="0563C1"/>
    </w:rPr>
  </w:style>
  <w:style w:type="character" w:customStyle="1" w:styleId="Hyperlink0">
    <w:name w:val="Hyperlink.0"/>
    <w:basedOn w:val="Odkaz"/>
    <w:rPr>
      <w:outline w:val="0"/>
      <w:color w:val="0563C1"/>
      <w:sz w:val="16"/>
      <w:szCs w:val="16"/>
      <w:u w:val="single" w:color="0563C1"/>
    </w:rPr>
  </w:style>
  <w:style w:type="paragraph" w:styleId="Akapitzlist">
    <w:name w:val="List Paragraph"/>
    <w:qFormat/>
    <w:pPr>
      <w:spacing w:line="259" w:lineRule="auto"/>
      <w:ind w:left="720"/>
    </w:pPr>
    <w:rPr>
      <w:rFonts w:ascii="Calibri" w:hAnsi="Calibri" w:cs="Arial Unicode MS"/>
      <w:color w:val="000000"/>
      <w:u w:color="000000"/>
    </w:rPr>
  </w:style>
  <w:style w:type="numbering" w:customStyle="1" w:styleId="Importovanstyl1">
    <w:name w:val="Importovaný styl 1"/>
  </w:style>
  <w:style w:type="numbering" w:customStyle="1" w:styleId="Odrky">
    <w:name w:val="Odrážky"/>
  </w:style>
  <w:style w:type="character" w:customStyle="1" w:styleId="Hyperlink1">
    <w:name w:val="Hyperlink.1"/>
    <w:basedOn w:val="Odkaz"/>
    <w:rPr>
      <w:outline w:val="0"/>
      <w:color w:val="000000"/>
      <w:u w:val="single" w:color="0563C1"/>
    </w:rPr>
  </w:style>
  <w:style w:type="paragraph" w:styleId="Nagwek">
    <w:name w:val="header"/>
    <w:basedOn w:val="Normalny"/>
    <w:link w:val="NagwekZnak"/>
    <w:uiPriority w:val="99"/>
    <w:unhideWhenUsed/>
    <w:rsid w:val="002E1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60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E1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60B"/>
    <w:rPr>
      <w:sz w:val="24"/>
      <w:szCs w:val="24"/>
      <w:lang w:val="en-US" w:eastAsia="en-US"/>
    </w:rPr>
  </w:style>
  <w:style w:type="paragraph" w:customStyle="1" w:styleId="BodyA">
    <w:name w:val="Body A"/>
    <w:rsid w:val="00DF523D"/>
    <w:rPr>
      <w:rFonts w:cs="Arial Unicode MS"/>
      <w:color w:val="000000"/>
      <w:u w:color="000000"/>
      <w:lang w:eastAsia="en-US"/>
    </w:rPr>
  </w:style>
  <w:style w:type="character" w:customStyle="1" w:styleId="None">
    <w:name w:val="None"/>
    <w:rsid w:val="00DF523D"/>
  </w:style>
  <w:style w:type="paragraph" w:styleId="NormalnyWeb">
    <w:name w:val="Normal (Web)"/>
    <w:uiPriority w:val="99"/>
    <w:rsid w:val="00DF523D"/>
    <w:pPr>
      <w:spacing w:before="100" w:after="100"/>
    </w:pPr>
    <w:rPr>
      <w:color w:val="000000"/>
      <w:u w:color="000000"/>
      <w:lang w:eastAsia="en-US"/>
    </w:rPr>
  </w:style>
  <w:style w:type="paragraph" w:customStyle="1" w:styleId="TextA">
    <w:name w:val="Text A"/>
    <w:rsid w:val="00F92479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  <w:rsid w:val="00F92479"/>
  </w:style>
  <w:style w:type="numbering" w:customStyle="1" w:styleId="Importovanstyl2">
    <w:name w:val="Importovaný styl 2"/>
    <w:rsid w:val="00A10B47"/>
  </w:style>
  <w:style w:type="paragraph" w:customStyle="1" w:styleId="Vchoz">
    <w:name w:val="Výchozí"/>
    <w:rsid w:val="00036C82"/>
    <w:pPr>
      <w:spacing w:before="160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uiPriority w:val="1"/>
    <w:qFormat/>
    <w:rsid w:val="00036C82"/>
    <w:rPr>
      <w:rFonts w:ascii="Arial" w:eastAsia="Arial" w:hAnsi="Arial" w:cs="Arial"/>
      <w:color w:val="000000"/>
      <w:u w:color="000000"/>
    </w:rPr>
  </w:style>
  <w:style w:type="character" w:styleId="Numerstrony">
    <w:name w:val="page number"/>
    <w:rsid w:val="00036C82"/>
  </w:style>
  <w:style w:type="character" w:customStyle="1" w:styleId="dnA">
    <w:name w:val="Žádný A"/>
    <w:rsid w:val="001D37E6"/>
    <w:rPr>
      <w:lang w:val="en-US"/>
    </w:rPr>
  </w:style>
  <w:style w:type="paragraph" w:styleId="Poprawka">
    <w:name w:val="Revision"/>
    <w:hidden/>
    <w:uiPriority w:val="99"/>
    <w:semiHidden/>
    <w:rsid w:val="002E52F4"/>
    <w:rPr>
      <w:lang w:eastAsia="en-US"/>
    </w:rPr>
  </w:style>
  <w:style w:type="numbering" w:customStyle="1" w:styleId="sla">
    <w:name w:val="Čísla"/>
    <w:rsid w:val="00534C23"/>
  </w:style>
  <w:style w:type="numbering" w:customStyle="1" w:styleId="Odrka">
    <w:name w:val="Odrážka"/>
    <w:rsid w:val="00916DEA"/>
  </w:style>
  <w:style w:type="character" w:customStyle="1" w:styleId="publication">
    <w:name w:val="publication"/>
    <w:basedOn w:val="Domylnaczcionkaakapitu"/>
    <w:rsid w:val="000B6E33"/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rockwellautomation.com/en-plex-cloud-mes/en-state-of-smart-manufacturing-repo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jablonowska@ra.rockwel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nt.rockwellautomation.com/en-plex-cloud-mes/en-state-of-smart-manufacturing-repor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PedVPgAAMrbDZInA+d5ExXqNxQ==">AMUW2mV+jW+UXsfYlY5xkaXr4jfOgi0pPU9DAx/2/7+lsb2d1QABDEb5i3Xv+GqRoe8pdlww9g7IEybXfNPuLuE9Xy5EDZLuaV0avYZeO1sCV2AY1q0Uonw=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 Szlaz</cp:lastModifiedBy>
  <cp:revision>2</cp:revision>
  <dcterms:created xsi:type="dcterms:W3CDTF">2021-07-12T11:50:00Z</dcterms:created>
  <dcterms:modified xsi:type="dcterms:W3CDTF">2022-08-01T07:45:00Z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0x01010074260948434B4344A6387C3BD67D0C3A</vt:lpwstr>
  </property>
</Properties>
</file>